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700" w:lineRule="exact"/>
        <w:ind w:firstLine="723" w:firstLineChars="200"/>
        <w:jc w:val="center"/>
        <w:rPr>
          <w:rFonts w:hint="eastAsia" w:ascii="黑体" w:hAnsi="黑体" w:eastAsia="黑体" w:cs="宋体"/>
          <w:b/>
          <w:kern w:val="0"/>
          <w:sz w:val="36"/>
          <w:szCs w:val="36"/>
        </w:rPr>
      </w:pPr>
      <w:r>
        <w:rPr>
          <w:rFonts w:hint="eastAsia" w:ascii="黑体" w:hAnsi="黑体" w:eastAsia="黑体" w:cs="宋体"/>
          <w:b/>
          <w:kern w:val="0"/>
          <w:sz w:val="36"/>
          <w:szCs w:val="36"/>
        </w:rPr>
        <w:t>新疆财政</w:t>
      </w:r>
      <w:bookmarkStart w:id="0" w:name="_Hlk532982692"/>
      <w:r>
        <w:rPr>
          <w:rFonts w:hint="eastAsia" w:ascii="黑体" w:hAnsi="黑体" w:eastAsia="黑体" w:cs="宋体"/>
          <w:b/>
          <w:kern w:val="0"/>
          <w:sz w:val="36"/>
          <w:szCs w:val="36"/>
        </w:rPr>
        <w:t>部门基本支出</w:t>
      </w:r>
      <w:bookmarkEnd w:id="0"/>
      <w:r>
        <w:rPr>
          <w:rFonts w:hint="eastAsia" w:ascii="黑体" w:hAnsi="黑体" w:eastAsia="黑体" w:cs="宋体"/>
          <w:b/>
          <w:kern w:val="0"/>
          <w:sz w:val="36"/>
          <w:szCs w:val="36"/>
        </w:rPr>
        <w:t>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hint="eastAsia" w:ascii="楷体" w:hAnsi="楷体" w:eastAsia="楷体"/>
          <w:color w:val="auto"/>
          <w:spacing w:val="-4"/>
          <w:sz w:val="32"/>
          <w:szCs w:val="32"/>
        </w:rPr>
      </w:pPr>
      <w:r>
        <w:rPr>
          <w:rStyle w:val="18"/>
          <w:rFonts w:hint="eastAsia" w:ascii="楷体" w:hAnsi="楷体" w:eastAsia="楷体"/>
          <w:color w:val="auto"/>
          <w:spacing w:val="-4"/>
          <w:sz w:val="32"/>
          <w:szCs w:val="32"/>
        </w:rPr>
        <w:t>（一）项目单位基本情况</w:t>
      </w:r>
    </w:p>
    <w:p>
      <w:pPr>
        <w:adjustRightInd w:val="0"/>
        <w:snapToGrid w:val="0"/>
        <w:spacing w:line="560" w:lineRule="exact"/>
        <w:ind w:firstLine="640" w:firstLineChars="200"/>
        <w:rPr>
          <w:rStyle w:val="18"/>
          <w:rFonts w:hint="eastAsia" w:ascii="楷体" w:hAnsi="楷体" w:eastAsia="楷体"/>
          <w:color w:val="auto"/>
          <w:spacing w:val="-4"/>
          <w:sz w:val="32"/>
          <w:szCs w:val="32"/>
        </w:rPr>
      </w:pPr>
      <w:r>
        <w:rPr>
          <w:rFonts w:hint="eastAsia" w:ascii="Times New Roman" w:hAnsi="Times New Roman" w:eastAsia="仿宋_GB2312"/>
          <w:sz w:val="32"/>
          <w:szCs w:val="32"/>
          <w:lang w:eastAsia="zh-CN"/>
        </w:rPr>
        <w:t>乔勒潘乡位于县城西北方向，乡政府驻地距县城5公里，乡境地势平坦。东西跨距约6公里，南北跨距14公里，东北与乔勒潘乡相接，东南与城关乡接壤，西南与龙甫乡为邻，北与阿克陶县玉</w:t>
      </w:r>
      <w:r>
        <w:rPr>
          <w:rFonts w:hint="eastAsia" w:ascii="Times New Roman" w:hAnsi="Times New Roman" w:eastAsia="仿宋_GB2312"/>
          <w:sz w:val="32"/>
          <w:szCs w:val="32"/>
          <w:lang w:val="en-US" w:eastAsia="zh-CN"/>
        </w:rPr>
        <w:t>麦乡相接。全乡总面积144平方千米，辖13个行政村，59个村民小组，共有学校9所，其中6所幼儿园，1所中心小学，2所村级小学，机关以外办公2个站所，派出所和信用社，全乡总人口3173户，13327人。</w:t>
      </w:r>
    </w:p>
    <w:p>
      <w:pPr>
        <w:adjustRightInd w:val="0"/>
        <w:snapToGrid w:val="0"/>
        <w:spacing w:line="560" w:lineRule="exact"/>
        <w:ind w:firstLine="627" w:firstLineChars="20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（二）项目预算</w:t>
      </w:r>
      <w:r>
        <w:rPr>
          <w:rStyle w:val="18"/>
          <w:rFonts w:ascii="楷体" w:hAnsi="楷体" w:eastAsia="楷体"/>
          <w:color w:val="auto"/>
          <w:spacing w:val="-4"/>
          <w:sz w:val="32"/>
          <w:szCs w:val="32"/>
        </w:rPr>
        <w:t>绩效目标</w:t>
      </w:r>
      <w:r>
        <w:rPr>
          <w:rStyle w:val="18"/>
          <w:rFonts w:hint="eastAsia" w:ascii="楷体" w:hAnsi="楷体" w:eastAsia="楷体"/>
          <w:color w:val="auto"/>
          <w:spacing w:val="-4"/>
          <w:sz w:val="32"/>
          <w:szCs w:val="32"/>
        </w:rPr>
        <w:t>设定情况</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1、项目预期目标及阶段性目标</w:t>
      </w:r>
    </w:p>
    <w:p>
      <w:pPr>
        <w:adjustRightInd w:val="0"/>
        <w:snapToGrid w:val="0"/>
        <w:spacing w:line="560" w:lineRule="exact"/>
        <w:ind w:firstLine="624" w:firstLineChars="200"/>
        <w:rPr>
          <w:rFonts w:hint="eastAsia"/>
          <w:color w:val="auto"/>
          <w:lang w:val="en-US" w:eastAsia="zh-CN"/>
        </w:rPr>
      </w:pPr>
      <w:r>
        <w:rPr>
          <w:rStyle w:val="18"/>
          <w:rFonts w:hint="eastAsia" w:ascii="仿宋" w:hAnsi="仿宋" w:eastAsia="仿宋"/>
          <w:b w:val="0"/>
          <w:color w:val="auto"/>
          <w:spacing w:val="-4"/>
          <w:sz w:val="32"/>
          <w:szCs w:val="32"/>
          <w:lang w:val="en-US" w:eastAsia="zh-CN"/>
        </w:rPr>
        <w:t>县财政为乔勒潘乡拨付各清真司干部补贴，保证了全乡清真司正常运转，推动全乡宗较领域工作。</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2、项目基本性质</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w:t>
      </w:r>
      <w:r>
        <w:rPr>
          <w:rStyle w:val="18"/>
          <w:rFonts w:hint="eastAsia" w:ascii="仿宋" w:hAnsi="仿宋" w:eastAsia="仿宋"/>
          <w:b w:val="0"/>
          <w:color w:val="auto"/>
          <w:spacing w:val="-4"/>
          <w:sz w:val="32"/>
          <w:szCs w:val="32"/>
        </w:rPr>
        <w:t>项目</w:t>
      </w:r>
      <w:r>
        <w:rPr>
          <w:rFonts w:hint="eastAsia" w:ascii="仿宋" w:hAnsi="仿宋" w:eastAsia="仿宋"/>
          <w:bCs/>
          <w:color w:val="auto"/>
          <w:spacing w:val="-4"/>
          <w:sz w:val="32"/>
          <w:szCs w:val="32"/>
        </w:rPr>
        <w:t>性质为</w:t>
      </w:r>
      <w:r>
        <w:rPr>
          <w:rFonts w:hint="eastAsia" w:ascii="仿宋" w:hAnsi="仿宋" w:eastAsia="仿宋"/>
          <w:bCs/>
          <w:color w:val="auto"/>
          <w:spacing w:val="-4"/>
          <w:sz w:val="32"/>
          <w:szCs w:val="32"/>
          <w:lang w:val="en-US" w:eastAsia="zh-CN"/>
        </w:rPr>
        <w:t>长久项目</w:t>
      </w:r>
      <w:r>
        <w:rPr>
          <w:rFonts w:hint="eastAsia" w:ascii="仿宋" w:hAnsi="仿宋" w:eastAsia="仿宋"/>
          <w:bCs/>
          <w:color w:val="auto"/>
          <w:spacing w:val="-4"/>
          <w:sz w:val="32"/>
          <w:szCs w:val="32"/>
        </w:rPr>
        <w:t>。</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3、项目用途及范围</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rPr>
      </w:pPr>
      <w:r>
        <w:rPr>
          <w:rStyle w:val="18"/>
          <w:rFonts w:hint="eastAsia" w:ascii="仿宋" w:hAnsi="仿宋" w:eastAsia="仿宋"/>
          <w:b w:val="0"/>
          <w:color w:val="auto"/>
          <w:spacing w:val="-4"/>
          <w:sz w:val="32"/>
          <w:szCs w:val="32"/>
          <w:lang w:val="en-US" w:eastAsia="zh-CN"/>
        </w:rPr>
        <w:t>英吉沙县乔勒潘乡清真司干部补贴推动全乡宗较领域工作，受益范围为全乡各行政村。</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（一）项目资金安排落实、总投入等情况分析</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英吉沙县乔勒潘乡驻村管司干部补贴项目预算安排总额为18.72万元，其中财政资金18.72万元，自筹资金0万元，2018年实际收到预算资金18.72万元。</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（二）项目资金实际使用情况分析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w:t>
      </w:r>
      <w:r>
        <w:rPr>
          <w:rFonts w:hint="eastAsia" w:ascii="仿宋" w:hAnsi="仿宋" w:eastAsia="仿宋"/>
          <w:bCs/>
          <w:color w:val="auto"/>
          <w:spacing w:val="-4"/>
          <w:sz w:val="32"/>
          <w:szCs w:val="32"/>
          <w:lang w:val="en-US" w:eastAsia="zh-CN"/>
        </w:rPr>
        <w:t>已支付资金</w:t>
      </w:r>
      <w:r>
        <w:rPr>
          <w:rStyle w:val="18"/>
          <w:rFonts w:hint="eastAsia" w:ascii="仿宋" w:hAnsi="仿宋" w:eastAsia="仿宋"/>
          <w:b w:val="0"/>
          <w:color w:val="auto"/>
          <w:spacing w:val="-4"/>
          <w:sz w:val="32"/>
          <w:szCs w:val="32"/>
          <w:lang w:val="en-US" w:eastAsia="zh-CN"/>
        </w:rPr>
        <w:t>18.72万元</w:t>
      </w:r>
      <w:r>
        <w:rPr>
          <w:rFonts w:hint="eastAsia" w:ascii="仿宋" w:hAnsi="仿宋" w:eastAsia="仿宋"/>
          <w:bCs/>
          <w:color w:val="auto"/>
          <w:spacing w:val="-4"/>
          <w:sz w:val="32"/>
          <w:szCs w:val="32"/>
          <w:lang w:val="en-US" w:eastAsia="zh-CN"/>
        </w:rPr>
        <w:t>，</w:t>
      </w:r>
      <w:r>
        <w:rPr>
          <w:rFonts w:hint="eastAsia" w:ascii="仿宋" w:hAnsi="仿宋" w:eastAsia="仿宋"/>
          <w:bCs/>
          <w:color w:val="auto"/>
          <w:spacing w:val="-4"/>
          <w:sz w:val="32"/>
          <w:szCs w:val="32"/>
        </w:rPr>
        <w:t>结余资金</w:t>
      </w:r>
      <w:r>
        <w:rPr>
          <w:rFonts w:hint="eastAsia" w:ascii="仿宋" w:hAnsi="仿宋" w:eastAsia="仿宋"/>
          <w:bCs/>
          <w:color w:val="auto"/>
          <w:spacing w:val="-4"/>
          <w:sz w:val="32"/>
          <w:szCs w:val="32"/>
          <w:lang w:val="en-US" w:eastAsia="zh-CN"/>
        </w:rPr>
        <w:t>为0万元</w:t>
      </w:r>
      <w:r>
        <w:rPr>
          <w:rFonts w:hint="eastAsia" w:ascii="仿宋" w:hAnsi="仿宋" w:eastAsia="仿宋"/>
          <w:bCs/>
          <w:color w:val="auto"/>
          <w:spacing w:val="-4"/>
          <w:sz w:val="32"/>
          <w:szCs w:val="32"/>
        </w:rPr>
        <w:t>。</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color w:val="auto"/>
          <w:spacing w:val="-4"/>
          <w:sz w:val="32"/>
          <w:szCs w:val="32"/>
        </w:rPr>
      </w:pPr>
      <w:r>
        <w:rPr>
          <w:rFonts w:hint="eastAsia" w:ascii="仿宋" w:hAnsi="仿宋" w:eastAsia="仿宋"/>
          <w:bCs/>
          <w:color w:val="auto"/>
          <w:spacing w:val="-4"/>
          <w:sz w:val="32"/>
          <w:szCs w:val="32"/>
        </w:rPr>
        <w:t>本项目支出符合</w:t>
      </w:r>
      <w:r>
        <w:rPr>
          <w:rFonts w:hint="eastAsia" w:ascii="仿宋" w:hAnsi="仿宋" w:eastAsia="仿宋"/>
          <w:bCs/>
          <w:color w:val="auto"/>
          <w:spacing w:val="-4"/>
          <w:sz w:val="32"/>
          <w:szCs w:val="32"/>
          <w:lang w:val="en-US" w:eastAsia="zh-CN"/>
        </w:rPr>
        <w:t>英吉沙县财政局、英吉沙县乔勒潘乡人民政府</w:t>
      </w:r>
      <w:r>
        <w:rPr>
          <w:rFonts w:hint="eastAsia" w:ascii="仿宋" w:hAnsi="仿宋" w:eastAsia="仿宋"/>
          <w:bCs/>
          <w:color w:val="auto"/>
          <w:spacing w:val="-4"/>
          <w:sz w:val="32"/>
          <w:szCs w:val="32"/>
        </w:rPr>
        <w:t>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该项目属于</w:t>
      </w:r>
      <w:r>
        <w:rPr>
          <w:rStyle w:val="18"/>
          <w:rFonts w:hint="eastAsia" w:ascii="仿宋" w:hAnsi="仿宋" w:eastAsia="仿宋"/>
          <w:b w:val="0"/>
          <w:color w:val="auto"/>
          <w:spacing w:val="-4"/>
          <w:sz w:val="32"/>
          <w:szCs w:val="32"/>
          <w:lang w:val="en-US" w:eastAsia="zh-CN"/>
        </w:rPr>
        <w:t>长久</w:t>
      </w:r>
      <w:r>
        <w:rPr>
          <w:rStyle w:val="18"/>
          <w:rFonts w:hint="eastAsia" w:ascii="仿宋" w:hAnsi="仿宋" w:eastAsia="仿宋"/>
          <w:b w:val="0"/>
          <w:color w:val="auto"/>
          <w:spacing w:val="-4"/>
          <w:sz w:val="32"/>
          <w:szCs w:val="32"/>
        </w:rPr>
        <w:t>项目,</w:t>
      </w:r>
      <w:r>
        <w:rPr>
          <w:rStyle w:val="18"/>
          <w:rFonts w:hint="eastAsia" w:ascii="仿宋" w:hAnsi="仿宋" w:eastAsia="仿宋"/>
          <w:b w:val="0"/>
          <w:color w:val="auto"/>
          <w:spacing w:val="-4"/>
          <w:sz w:val="32"/>
          <w:szCs w:val="32"/>
          <w:lang w:val="en-US" w:eastAsia="zh-CN"/>
        </w:rPr>
        <w:t>由乔勒潘乡人民政府主管项目</w:t>
      </w:r>
      <w:r>
        <w:rPr>
          <w:rStyle w:val="18"/>
          <w:rFonts w:hint="eastAsia" w:ascii="仿宋" w:hAnsi="仿宋" w:eastAsia="仿宋"/>
          <w:b w:val="0"/>
          <w:color w:val="auto"/>
          <w:spacing w:val="-4"/>
          <w:sz w:val="32"/>
          <w:szCs w:val="32"/>
        </w:rPr>
        <w:t>。实施过程均按照本单位制定的管理制度执行。</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为保证项目质量和成本控制，项目实施完成后，由本项目相关人员</w:t>
      </w:r>
      <w:r>
        <w:rPr>
          <w:rStyle w:val="18"/>
          <w:rFonts w:hint="eastAsia" w:ascii="仿宋" w:hAnsi="仿宋" w:eastAsia="仿宋"/>
          <w:b w:val="0"/>
          <w:color w:val="auto"/>
          <w:spacing w:val="-4"/>
          <w:sz w:val="32"/>
          <w:szCs w:val="32"/>
          <w:lang w:val="en-US" w:eastAsia="zh-CN"/>
        </w:rPr>
        <w:t>组织进行</w:t>
      </w:r>
      <w:r>
        <w:rPr>
          <w:rStyle w:val="18"/>
          <w:rFonts w:hint="eastAsia" w:ascii="仿宋" w:hAnsi="仿宋" w:eastAsia="仿宋"/>
          <w:b w:val="0"/>
          <w:color w:val="auto"/>
          <w:spacing w:val="-4"/>
          <w:sz w:val="32"/>
          <w:szCs w:val="32"/>
          <w:lang w:eastAsia="zh-CN"/>
        </w:rPr>
        <w:t>发放情况核实</w:t>
      </w:r>
      <w:r>
        <w:rPr>
          <w:rStyle w:val="18"/>
          <w:rFonts w:hint="eastAsia" w:ascii="仿宋" w:hAnsi="仿宋" w:eastAsia="仿宋"/>
          <w:b w:val="0"/>
          <w:color w:val="auto"/>
          <w:spacing w:val="-4"/>
          <w:sz w:val="32"/>
          <w:szCs w:val="32"/>
        </w:rPr>
        <w:t>。</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Fonts w:hint="eastAsia" w:ascii="仿宋" w:hAnsi="仿宋" w:eastAsia="仿宋"/>
          <w:bCs/>
          <w:color w:val="auto"/>
          <w:spacing w:val="-4"/>
          <w:sz w:val="32"/>
          <w:szCs w:val="32"/>
        </w:rPr>
        <w:t>项目实施过程中，</w:t>
      </w:r>
      <w:r>
        <w:rPr>
          <w:rFonts w:hint="eastAsia" w:ascii="仿宋" w:hAnsi="仿宋" w:eastAsia="仿宋"/>
          <w:bCs/>
          <w:color w:val="auto"/>
          <w:spacing w:val="-4"/>
          <w:sz w:val="32"/>
          <w:szCs w:val="32"/>
          <w:lang w:val="en-US" w:eastAsia="zh-CN"/>
        </w:rPr>
        <w:t>英吉沙县乔勒潘乡人民政府制定了英吉沙县乔勒潘乡驻村官司干部补贴支出及资金核销管理办法，</w:t>
      </w:r>
      <w:r>
        <w:rPr>
          <w:rFonts w:hint="eastAsia" w:ascii="仿宋" w:hAnsi="仿宋" w:eastAsia="仿宋"/>
          <w:bCs/>
          <w:color w:val="auto"/>
          <w:spacing w:val="-4"/>
          <w:sz w:val="32"/>
          <w:szCs w:val="32"/>
        </w:rPr>
        <w:t>保障项目的顺利实施。项目的实施遵守相关法律法规和业务管理规定，项目资料齐全并及时归档。已建立</w:t>
      </w:r>
      <w:r>
        <w:rPr>
          <w:rFonts w:hint="eastAsia" w:ascii="仿宋" w:hAnsi="仿宋" w:eastAsia="仿宋"/>
          <w:bCs/>
          <w:color w:val="auto"/>
          <w:spacing w:val="-4"/>
          <w:sz w:val="32"/>
          <w:szCs w:val="32"/>
          <w:lang w:val="en-US" w:eastAsia="zh-CN"/>
        </w:rPr>
        <w:t>相关</w:t>
      </w:r>
      <w:r>
        <w:rPr>
          <w:rFonts w:hint="eastAsia" w:ascii="仿宋" w:hAnsi="仿宋" w:eastAsia="仿宋"/>
          <w:bCs/>
          <w:color w:val="auto"/>
          <w:spacing w:val="-4"/>
          <w:sz w:val="32"/>
          <w:szCs w:val="32"/>
        </w:rPr>
        <w:t>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color w:val="auto"/>
        </w:rPr>
      </w:pPr>
      <w:r>
        <w:rPr>
          <w:rStyle w:val="18"/>
          <w:rFonts w:hint="eastAsia" w:ascii="黑体" w:hAnsi="黑体" w:eastAsia="黑体"/>
          <w:b w:val="0"/>
          <w:color w:val="auto"/>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color w:val="auto"/>
          <w:spacing w:val="-4"/>
          <w:sz w:val="32"/>
          <w:szCs w:val="32"/>
        </w:rPr>
      </w:pPr>
      <w:r>
        <w:rPr>
          <w:rFonts w:hint="eastAsia" w:ascii="楷体" w:hAnsi="楷体" w:eastAsia="楷体"/>
          <w:b/>
          <w:color w:val="auto"/>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二级指标</w:t>
      </w:r>
      <w:r>
        <w:rPr>
          <w:rFonts w:hint="eastAsia" w:ascii="仿宋" w:hAnsi="仿宋" w:eastAsia="仿宋"/>
          <w:bCs/>
          <w:color w:val="auto"/>
          <w:spacing w:val="-4"/>
          <w:sz w:val="32"/>
          <w:szCs w:val="32"/>
          <w:lang w:val="en-US" w:eastAsia="zh-CN"/>
        </w:rPr>
        <w:t>8</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三级指标</w:t>
      </w:r>
      <w:r>
        <w:rPr>
          <w:rFonts w:hint="eastAsia" w:ascii="仿宋" w:hAnsi="仿宋" w:eastAsia="仿宋"/>
          <w:bCs/>
          <w:color w:val="auto"/>
          <w:spacing w:val="-4"/>
          <w:sz w:val="32"/>
          <w:szCs w:val="32"/>
          <w:lang w:val="en-US" w:eastAsia="zh-CN"/>
        </w:rPr>
        <w:t>8</w:t>
      </w:r>
      <w:r>
        <w:rPr>
          <w:rFonts w:ascii="仿宋" w:hAnsi="仿宋" w:eastAsia="仿宋"/>
          <w:bCs/>
          <w:color w:val="auto"/>
          <w:spacing w:val="-4"/>
          <w:sz w:val="32"/>
          <w:szCs w:val="32"/>
        </w:rPr>
        <w:t>个</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lang w:val="en-US" w:eastAsia="zh-CN"/>
        </w:rPr>
        <w:t>目前该项目已完成。</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（二）项目绩效目标未完成原因分析</w:t>
      </w:r>
    </w:p>
    <w:p>
      <w:pPr>
        <w:adjustRightInd w:val="0"/>
        <w:snapToGrid w:val="0"/>
        <w:spacing w:line="560" w:lineRule="exact"/>
        <w:ind w:firstLine="624" w:firstLineChars="200"/>
        <w:outlineLvl w:val="0"/>
        <w:rPr>
          <w:rFonts w:hint="eastAsia" w:ascii="仿宋" w:hAnsi="仿宋" w:eastAsia="仿宋"/>
          <w:color w:val="auto"/>
          <w:spacing w:val="-4"/>
          <w:sz w:val="32"/>
          <w:szCs w:val="32"/>
          <w:lang w:val="en-US" w:eastAsia="zh-CN"/>
        </w:rPr>
      </w:pPr>
      <w:r>
        <w:rPr>
          <w:rFonts w:hint="eastAsia" w:ascii="仿宋" w:hAnsi="仿宋" w:eastAsia="仿宋"/>
          <w:color w:val="auto"/>
          <w:spacing w:val="-4"/>
          <w:sz w:val="32"/>
          <w:szCs w:val="32"/>
          <w:lang w:val="en-US" w:eastAsia="zh-CN"/>
        </w:rPr>
        <w:t>暂无。</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（一）后续工作计划</w:t>
      </w:r>
    </w:p>
    <w:p>
      <w:pPr>
        <w:adjustRightInd w:val="0"/>
        <w:snapToGrid w:val="0"/>
        <w:spacing w:line="560" w:lineRule="exact"/>
        <w:ind w:firstLine="624" w:firstLineChars="200"/>
        <w:outlineLvl w:val="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根据项目现实施情况，计划下一年度继续申请干部补助，以保证宗较领域工作的正常运转。</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（二）主要经验及做法、存在问题和建议</w:t>
      </w:r>
    </w:p>
    <w:p>
      <w:pPr>
        <w:adjustRightInd w:val="0"/>
        <w:snapToGrid w:val="0"/>
        <w:spacing w:line="560" w:lineRule="exact"/>
        <w:ind w:firstLine="624" w:firstLineChars="20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rPr>
        <w:t>1、主要经验及做法</w:t>
      </w:r>
      <w:r>
        <w:rPr>
          <w:rFonts w:hint="eastAsia" w:ascii="仿宋" w:hAnsi="仿宋" w:eastAsia="仿宋"/>
          <w:bCs/>
          <w:color w:val="auto"/>
          <w:spacing w:val="-4"/>
          <w:sz w:val="32"/>
          <w:szCs w:val="32"/>
          <w:lang w:eastAsia="zh-CN"/>
        </w:rPr>
        <w:t>：</w:t>
      </w:r>
    </w:p>
    <w:p>
      <w:p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存在的问题</w:t>
      </w:r>
      <w:r>
        <w:rPr>
          <w:rFonts w:hint="eastAsia" w:ascii="仿宋" w:hAnsi="仿宋" w:eastAsia="仿宋"/>
          <w:bCs/>
          <w:color w:val="auto"/>
          <w:spacing w:val="-4"/>
          <w:sz w:val="32"/>
          <w:szCs w:val="32"/>
          <w:lang w:eastAsia="zh-CN"/>
        </w:rPr>
        <w:t>：</w:t>
      </w:r>
    </w:p>
    <w:p>
      <w:pPr>
        <w:numPr>
          <w:ilvl w:val="0"/>
          <w:numId w:val="0"/>
        </w:numPr>
        <w:adjustRightInd w:val="0"/>
        <w:snapToGrid w:val="0"/>
        <w:spacing w:line="560" w:lineRule="exact"/>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 xml:space="preserve">    管理要求较高</w:t>
      </w:r>
    </w:p>
    <w:p>
      <w:pPr>
        <w:numPr>
          <w:ilvl w:val="0"/>
          <w:numId w:val="1"/>
        </w:numPr>
        <w:adjustRightInd w:val="0"/>
        <w:snapToGrid w:val="0"/>
        <w:spacing w:line="560" w:lineRule="exact"/>
        <w:ind w:left="0" w:leftChars="0"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rPr>
        <w:t>建议</w:t>
      </w:r>
      <w:r>
        <w:rPr>
          <w:rFonts w:hint="eastAsia" w:ascii="仿宋" w:hAnsi="仿宋" w:eastAsia="仿宋"/>
          <w:bCs/>
          <w:color w:val="auto"/>
          <w:spacing w:val="-4"/>
          <w:sz w:val="32"/>
          <w:szCs w:val="32"/>
          <w:lang w:eastAsia="zh-CN"/>
        </w:rPr>
        <w:t>：</w:t>
      </w:r>
    </w:p>
    <w:p>
      <w:pPr>
        <w:numPr>
          <w:ilvl w:val="0"/>
          <w:numId w:val="0"/>
        </w:num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暂无。</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（三）其他</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无其他说明内容。</w:t>
      </w:r>
    </w:p>
    <w:p>
      <w:pPr>
        <w:adjustRightInd w:val="0"/>
        <w:snapToGrid w:val="0"/>
        <w:spacing w:line="560" w:lineRule="exact"/>
        <w:ind w:firstLine="624" w:firstLineChars="200"/>
        <w:outlineLvl w:val="0"/>
        <w:rPr>
          <w:rFonts w:ascii="黑体" w:hAnsi="黑体" w:eastAsia="黑体"/>
          <w:bCs/>
          <w:color w:val="auto"/>
          <w:spacing w:val="-4"/>
          <w:sz w:val="32"/>
          <w:szCs w:val="32"/>
        </w:rPr>
      </w:pPr>
      <w:r>
        <w:rPr>
          <w:rStyle w:val="18"/>
          <w:rFonts w:hint="eastAsia" w:ascii="黑体" w:hAnsi="黑体" w:eastAsia="黑体"/>
          <w:b w:val="0"/>
          <w:color w:val="auto"/>
          <w:spacing w:val="-4"/>
          <w:sz w:val="32"/>
          <w:szCs w:val="32"/>
        </w:rPr>
        <w:t>六、项目评价工作情况</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color w:val="auto"/>
          <w:spacing w:val="-4"/>
          <w:sz w:val="32"/>
          <w:szCs w:val="32"/>
          <w:lang w:val="en-US" w:eastAsia="zh-CN"/>
        </w:rPr>
        <w:t>英吉沙县干部补助</w:t>
      </w:r>
      <w:r>
        <w:rPr>
          <w:rFonts w:hint="eastAsia" w:ascii="仿宋" w:hAnsi="仿宋" w:eastAsia="仿宋"/>
          <w:color w:val="auto"/>
          <w:spacing w:val="-4"/>
          <w:sz w:val="32"/>
          <w:szCs w:val="32"/>
        </w:rPr>
        <w:t>的使用</w:t>
      </w:r>
      <w:r>
        <w:rPr>
          <w:rFonts w:hint="eastAsia" w:ascii="仿宋" w:hAnsi="仿宋" w:eastAsia="仿宋"/>
          <w:color w:val="auto"/>
          <w:spacing w:val="-4"/>
          <w:sz w:val="32"/>
          <w:szCs w:val="32"/>
          <w:lang w:eastAsia="zh-CN"/>
        </w:rPr>
        <w:t>方式</w:t>
      </w:r>
      <w:r>
        <w:rPr>
          <w:rFonts w:hint="eastAsia" w:ascii="仿宋" w:hAnsi="仿宋" w:eastAsia="仿宋"/>
          <w:color w:val="auto"/>
          <w:spacing w:val="-4"/>
          <w:sz w:val="32"/>
          <w:szCs w:val="32"/>
        </w:rPr>
        <w:t>和效果，项目管理过程是否规范，是否完成了预期绩效目标等。同时，通过开展自我评价来总结经验和教训，为</w:t>
      </w:r>
      <w:r>
        <w:rPr>
          <w:rFonts w:hint="eastAsia" w:ascii="仿宋" w:hAnsi="仿宋" w:eastAsia="仿宋"/>
          <w:color w:val="auto"/>
          <w:spacing w:val="-4"/>
          <w:sz w:val="32"/>
          <w:szCs w:val="32"/>
          <w:lang w:val="en-US" w:eastAsia="zh-CN"/>
        </w:rPr>
        <w:t>我乡其他</w:t>
      </w:r>
      <w:r>
        <w:rPr>
          <w:rFonts w:hint="eastAsia" w:ascii="仿宋" w:hAnsi="仿宋" w:eastAsia="仿宋"/>
          <w:color w:val="auto"/>
          <w:spacing w:val="-4"/>
          <w:sz w:val="32"/>
          <w:szCs w:val="32"/>
        </w:rPr>
        <w:t>项目今后的开展提供参考建议。</w:t>
      </w:r>
      <w:bookmarkStart w:id="1" w:name="_GoBack"/>
      <w:bookmarkEnd w:id="1"/>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七、附表</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《项目支出绩效目标自评表》</w:t>
      </w:r>
    </w:p>
    <w:p>
      <w:pPr>
        <w:adjustRightInd w:val="0"/>
        <w:snapToGrid w:val="0"/>
        <w:spacing w:line="560" w:lineRule="exact"/>
        <w:ind w:firstLine="627" w:firstLineChars="200"/>
        <w:rPr>
          <w:rStyle w:val="18"/>
          <w:rFonts w:ascii="仿宋" w:hAnsi="仿宋" w:eastAsia="仿宋"/>
          <w:color w:val="auto"/>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00004FF" w:usb2="00000000" w:usb3="00000000" w:csb0="2000019F" w:csb1="00000000"/>
  </w:font>
  <w:font w:name="Arial Unicode MS">
    <w:panose1 w:val="020B0604020202020204"/>
    <w:charset w:val="86"/>
    <w:family w:val="swiss"/>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02151B31"/>
    <w:rsid w:val="0974009C"/>
    <w:rsid w:val="09F141FA"/>
    <w:rsid w:val="1FC12797"/>
    <w:rsid w:val="3C244682"/>
    <w:rsid w:val="46AB2C79"/>
    <w:rsid w:val="52A22AB4"/>
    <w:rsid w:val="5DF13FDD"/>
    <w:rsid w:val="64ED4B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2</TotalTime>
  <ScaleCrop>false</ScaleCrop>
  <LinksUpToDate>false</LinksUpToDate>
  <CharactersWithSpaces>1916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Sunshine</cp:lastModifiedBy>
  <cp:lastPrinted>2018-12-17T10:15:00Z</cp:lastPrinted>
  <dcterms:modified xsi:type="dcterms:W3CDTF">2019-01-31T10:43:37Z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